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4C60F" w14:textId="77777777" w:rsidR="00BA12D5" w:rsidRDefault="001932D7" w:rsidP="00BA12D5">
      <w:pPr>
        <w:pStyle w:val="Heading1"/>
        <w:spacing w:before="0"/>
        <w:jc w:val="center"/>
        <w:rPr>
          <w:color w:val="0070C0"/>
        </w:rPr>
      </w:pPr>
      <w:r w:rsidRPr="00BA12D5">
        <w:rPr>
          <w:color w:val="0070C0"/>
        </w:rPr>
        <w:t>Psychological Practice in Physical Health</w:t>
      </w:r>
    </w:p>
    <w:p w14:paraId="590F685F" w14:textId="6784C209" w:rsidR="001932D7" w:rsidRPr="00BA12D5" w:rsidRDefault="001932D7" w:rsidP="00BA12D5">
      <w:pPr>
        <w:pStyle w:val="Heading1"/>
        <w:spacing w:before="0"/>
        <w:jc w:val="center"/>
        <w:rPr>
          <w:color w:val="0070C0"/>
        </w:rPr>
      </w:pPr>
      <w:r w:rsidRPr="00BA12D5">
        <w:rPr>
          <w:color w:val="0070C0"/>
        </w:rPr>
        <w:t xml:space="preserve"> Expert Advisory Group (EAG)</w:t>
      </w:r>
    </w:p>
    <w:p w14:paraId="3F23E0F9" w14:textId="77777777" w:rsidR="00B470ED" w:rsidRDefault="005957DD"/>
    <w:p w14:paraId="5E7A8FD7" w14:textId="6491AEA4" w:rsidR="001932D7" w:rsidRDefault="001932D7" w:rsidP="001932D7">
      <w:pPr>
        <w:pStyle w:val="Heading2"/>
      </w:pPr>
      <w:r>
        <w:t>Expressions of Interest from Psychological Professionals working in physical health care</w:t>
      </w:r>
    </w:p>
    <w:p w14:paraId="43E5A8BD" w14:textId="2100DA18" w:rsidR="00CF7EDE" w:rsidRDefault="00CF7EDE" w:rsidP="00CF7EDE"/>
    <w:p w14:paraId="38BB9EB7" w14:textId="16FF11C8" w:rsidR="006D4E4A" w:rsidRDefault="006D4E4A" w:rsidP="006D4E4A">
      <w:pPr>
        <w:pStyle w:val="Heading2"/>
      </w:pPr>
      <w:r>
        <w:t>Introduction</w:t>
      </w:r>
    </w:p>
    <w:p w14:paraId="3CDA7653" w14:textId="77777777" w:rsidR="00BA12D5" w:rsidRDefault="00BA12D5" w:rsidP="00BA12D5">
      <w:pPr>
        <w:spacing w:after="0"/>
      </w:pPr>
    </w:p>
    <w:p w14:paraId="1EED0DB7" w14:textId="5D2DB08A" w:rsidR="001932D7" w:rsidRDefault="001932D7" w:rsidP="001932D7">
      <w:r>
        <w:t>The National Psychological Professions Workforce Group is setting up an Expert Advisory Group on Psychological Practice in Physical Health.</w:t>
      </w:r>
    </w:p>
    <w:p w14:paraId="0733DA75" w14:textId="77777777" w:rsidR="006C2519" w:rsidRDefault="006C2519" w:rsidP="006C2519">
      <w:pPr>
        <w:rPr>
          <w:szCs w:val="24"/>
        </w:rPr>
      </w:pPr>
      <w:r>
        <w:rPr>
          <w:szCs w:val="24"/>
        </w:rPr>
        <w:t xml:space="preserve">Psychological practice in physical health care is focused on improving the experience and outcomes of people who experience physical health problems across the lifespan, and/or at risk of developing physical health problems.   </w:t>
      </w:r>
    </w:p>
    <w:p w14:paraId="6B507E16" w14:textId="77777777" w:rsidR="006C2519" w:rsidRDefault="006C2519" w:rsidP="006C2519">
      <w:pPr>
        <w:rPr>
          <w:szCs w:val="24"/>
        </w:rPr>
      </w:pPr>
      <w:r>
        <w:rPr>
          <w:szCs w:val="24"/>
        </w:rPr>
        <w:t xml:space="preserve">The focus of this work is based on the priorities within the NHS Long Term Plan and emerging priorities as a result of the Covid-19 pandemic. </w:t>
      </w:r>
    </w:p>
    <w:p w14:paraId="068A5AD9" w14:textId="644C46B3" w:rsidR="004B2A94" w:rsidRDefault="004B2A94" w:rsidP="004B2A94">
      <w:pPr>
        <w:rPr>
          <w:szCs w:val="24"/>
        </w:rPr>
      </w:pPr>
      <w:r>
        <w:rPr>
          <w:szCs w:val="24"/>
        </w:rPr>
        <w:t>The Expert Advisory Group will oversee the development and design of a framework to deliver against the aims (see below) alongside establishing a wider consultation approach that will support sustainable multispecialty engagement and advice during the course of the work.</w:t>
      </w:r>
    </w:p>
    <w:p w14:paraId="5D41364A" w14:textId="4DC8298E" w:rsidR="006D4E4A" w:rsidRDefault="006D4E4A" w:rsidP="004B2A94">
      <w:pPr>
        <w:rPr>
          <w:szCs w:val="24"/>
        </w:rPr>
      </w:pPr>
      <w:r>
        <w:rPr>
          <w:szCs w:val="24"/>
        </w:rPr>
        <w:t xml:space="preserve">The Expert Advisory Group will include a core group and a wider reference group. </w:t>
      </w:r>
    </w:p>
    <w:p w14:paraId="73A6B4F7" w14:textId="77777777" w:rsidR="001932D7" w:rsidRDefault="001932D7" w:rsidP="001932D7">
      <w:r>
        <w:t>The aims are:</w:t>
      </w:r>
    </w:p>
    <w:p w14:paraId="5D795FD7" w14:textId="77777777" w:rsidR="001932D7" w:rsidRPr="000B0427" w:rsidRDefault="001932D7" w:rsidP="001932D7">
      <w:pPr>
        <w:pStyle w:val="ListParagraph"/>
        <w:numPr>
          <w:ilvl w:val="0"/>
          <w:numId w:val="1"/>
        </w:numPr>
        <w:rPr>
          <w:szCs w:val="24"/>
        </w:rPr>
      </w:pPr>
      <w:r w:rsidRPr="000B0427">
        <w:rPr>
          <w:szCs w:val="24"/>
        </w:rPr>
        <w:t xml:space="preserve">To bring together expertise in psychological approaches </w:t>
      </w:r>
      <w:r w:rsidR="00292118">
        <w:rPr>
          <w:szCs w:val="24"/>
        </w:rPr>
        <w:t>i</w:t>
      </w:r>
      <w:r w:rsidRPr="000B0427">
        <w:rPr>
          <w:szCs w:val="24"/>
        </w:rPr>
        <w:t xml:space="preserve">n physical healthcare </w:t>
      </w:r>
    </w:p>
    <w:p w14:paraId="145E9B8B" w14:textId="04871152" w:rsidR="001932D7" w:rsidRPr="000B0427" w:rsidRDefault="001932D7" w:rsidP="001932D7">
      <w:pPr>
        <w:pStyle w:val="ListParagraph"/>
        <w:numPr>
          <w:ilvl w:val="0"/>
          <w:numId w:val="1"/>
        </w:numPr>
        <w:rPr>
          <w:szCs w:val="24"/>
        </w:rPr>
      </w:pPr>
      <w:r w:rsidRPr="000B0427">
        <w:rPr>
          <w:szCs w:val="24"/>
        </w:rPr>
        <w:t xml:space="preserve">To </w:t>
      </w:r>
      <w:r w:rsidR="00CC7B5A">
        <w:rPr>
          <w:szCs w:val="24"/>
        </w:rPr>
        <w:t>support</w:t>
      </w:r>
      <w:r w:rsidR="00CC7B5A" w:rsidRPr="000B0427">
        <w:rPr>
          <w:szCs w:val="24"/>
        </w:rPr>
        <w:t xml:space="preserve"> </w:t>
      </w:r>
      <w:r w:rsidRPr="000B0427">
        <w:rPr>
          <w:szCs w:val="24"/>
        </w:rPr>
        <w:t>best practice in physical health care including (but not restricted) prevention, intervention and treatment, consultancy, education and training</w:t>
      </w:r>
    </w:p>
    <w:p w14:paraId="0C81CE35" w14:textId="77777777" w:rsidR="001932D7" w:rsidRPr="000B0427" w:rsidRDefault="001932D7" w:rsidP="001932D7">
      <w:pPr>
        <w:pStyle w:val="ListParagraph"/>
        <w:numPr>
          <w:ilvl w:val="0"/>
          <w:numId w:val="1"/>
        </w:numPr>
        <w:rPr>
          <w:szCs w:val="24"/>
        </w:rPr>
      </w:pPr>
      <w:r w:rsidRPr="000B0427">
        <w:rPr>
          <w:szCs w:val="24"/>
        </w:rPr>
        <w:t>To provide a bridge to best psychological practice advice to current and emerging national work streams focused on physical health care</w:t>
      </w:r>
    </w:p>
    <w:p w14:paraId="6AD08F42" w14:textId="77777777" w:rsidR="001932D7" w:rsidRDefault="001932D7" w:rsidP="001932D7"/>
    <w:p w14:paraId="5E14C62B" w14:textId="7914B3CA" w:rsidR="00433068" w:rsidRDefault="00433068" w:rsidP="001932D7">
      <w:r>
        <w:t xml:space="preserve">The </w:t>
      </w:r>
      <w:r w:rsidR="004B2A94">
        <w:t xml:space="preserve">expected </w:t>
      </w:r>
      <w:r>
        <w:t>outputs</w:t>
      </w:r>
      <w:r w:rsidR="004B2A94">
        <w:t xml:space="preserve"> from the Expert Advisory Group</w:t>
      </w:r>
      <w:r>
        <w:t xml:space="preserve"> are:</w:t>
      </w:r>
    </w:p>
    <w:p w14:paraId="590E26D2" w14:textId="129D7075" w:rsidR="004B2A94" w:rsidRDefault="000A0C8E" w:rsidP="004B2A94">
      <w:pPr>
        <w:pStyle w:val="ListParagraph"/>
        <w:numPr>
          <w:ilvl w:val="0"/>
          <w:numId w:val="3"/>
        </w:numPr>
        <w:rPr>
          <w:szCs w:val="24"/>
        </w:rPr>
      </w:pPr>
      <w:r>
        <w:rPr>
          <w:szCs w:val="24"/>
        </w:rPr>
        <w:t xml:space="preserve">A case for change and case for the </w:t>
      </w:r>
      <w:r w:rsidRPr="00D723C7">
        <w:rPr>
          <w:szCs w:val="24"/>
        </w:rPr>
        <w:t xml:space="preserve">development </w:t>
      </w:r>
      <w:r w:rsidR="004B2A94">
        <w:rPr>
          <w:szCs w:val="24"/>
        </w:rPr>
        <w:t xml:space="preserve">for psychological practice in physical health that maintains the patient/service user need at the core </w:t>
      </w:r>
    </w:p>
    <w:p w14:paraId="0EF432A4" w14:textId="2B4E432A" w:rsidR="004B2A94" w:rsidRPr="00D723C7" w:rsidRDefault="004B2A94" w:rsidP="004B2A94">
      <w:pPr>
        <w:pStyle w:val="ListParagraph"/>
        <w:numPr>
          <w:ilvl w:val="0"/>
          <w:numId w:val="3"/>
        </w:numPr>
        <w:rPr>
          <w:szCs w:val="24"/>
        </w:rPr>
      </w:pPr>
      <w:r w:rsidRPr="00D723C7">
        <w:rPr>
          <w:szCs w:val="24"/>
        </w:rPr>
        <w:t>A</w:t>
      </w:r>
      <w:r>
        <w:rPr>
          <w:szCs w:val="24"/>
        </w:rPr>
        <w:t xml:space="preserve"> multi-level </w:t>
      </w:r>
      <w:proofErr w:type="gramStart"/>
      <w:r>
        <w:rPr>
          <w:szCs w:val="24"/>
        </w:rPr>
        <w:t>evidence based</w:t>
      </w:r>
      <w:proofErr w:type="gramEnd"/>
      <w:r>
        <w:rPr>
          <w:szCs w:val="24"/>
        </w:rPr>
        <w:t xml:space="preserve"> </w:t>
      </w:r>
      <w:r w:rsidRPr="00D723C7">
        <w:rPr>
          <w:szCs w:val="24"/>
        </w:rPr>
        <w:t xml:space="preserve">menu of what psychological professions </w:t>
      </w:r>
      <w:r>
        <w:rPr>
          <w:szCs w:val="24"/>
        </w:rPr>
        <w:t xml:space="preserve">are trained to provide </w:t>
      </w:r>
      <w:r w:rsidRPr="00D723C7">
        <w:rPr>
          <w:szCs w:val="24"/>
        </w:rPr>
        <w:t>(with different specialties)</w:t>
      </w:r>
      <w:r>
        <w:rPr>
          <w:szCs w:val="24"/>
        </w:rPr>
        <w:t xml:space="preserve"> to impact on patient/service user experience and outcomes</w:t>
      </w:r>
    </w:p>
    <w:p w14:paraId="494763B7" w14:textId="77777777" w:rsidR="004B2A94" w:rsidRPr="00D723C7" w:rsidRDefault="004B2A94" w:rsidP="004B2A94">
      <w:pPr>
        <w:pStyle w:val="ListParagraph"/>
        <w:numPr>
          <w:ilvl w:val="0"/>
          <w:numId w:val="3"/>
        </w:numPr>
        <w:rPr>
          <w:szCs w:val="24"/>
        </w:rPr>
      </w:pPr>
      <w:r>
        <w:rPr>
          <w:szCs w:val="24"/>
        </w:rPr>
        <w:t xml:space="preserve">A proposal </w:t>
      </w:r>
      <w:r w:rsidRPr="00D723C7">
        <w:rPr>
          <w:szCs w:val="24"/>
        </w:rPr>
        <w:t xml:space="preserve"> to connect professional education </w:t>
      </w:r>
      <w:r>
        <w:rPr>
          <w:szCs w:val="24"/>
        </w:rPr>
        <w:t xml:space="preserve">in order </w:t>
      </w:r>
      <w:r w:rsidRPr="00D723C7">
        <w:rPr>
          <w:szCs w:val="24"/>
        </w:rPr>
        <w:t xml:space="preserve">to </w:t>
      </w:r>
      <w:r>
        <w:rPr>
          <w:szCs w:val="24"/>
        </w:rPr>
        <w:t xml:space="preserve">integrate </w:t>
      </w:r>
      <w:r w:rsidRPr="00D723C7">
        <w:rPr>
          <w:szCs w:val="24"/>
        </w:rPr>
        <w:t>mental health and physical health specialism</w:t>
      </w:r>
      <w:r>
        <w:rPr>
          <w:szCs w:val="24"/>
        </w:rPr>
        <w:t>s</w:t>
      </w:r>
    </w:p>
    <w:p w14:paraId="52C94EC7" w14:textId="77777777" w:rsidR="004B2A94" w:rsidRPr="00D723C7" w:rsidRDefault="004B2A94" w:rsidP="004B2A94">
      <w:pPr>
        <w:pStyle w:val="ListParagraph"/>
        <w:numPr>
          <w:ilvl w:val="0"/>
          <w:numId w:val="3"/>
        </w:numPr>
        <w:rPr>
          <w:szCs w:val="24"/>
        </w:rPr>
      </w:pPr>
      <w:r w:rsidRPr="00D723C7">
        <w:rPr>
          <w:szCs w:val="24"/>
        </w:rPr>
        <w:t>Further health economic / outcome analysis of the impact of psychological approaches in physical health care</w:t>
      </w:r>
    </w:p>
    <w:p w14:paraId="30B2DD43" w14:textId="77777777" w:rsidR="00CF7EDE" w:rsidRDefault="00CF7EDE" w:rsidP="001932D7"/>
    <w:p w14:paraId="6EB971B4" w14:textId="77777777" w:rsidR="006D4E4A" w:rsidRDefault="006D4E4A">
      <w:r>
        <w:br w:type="page"/>
      </w:r>
    </w:p>
    <w:p w14:paraId="0A196D9B" w14:textId="56E87C7C" w:rsidR="006D4E4A" w:rsidRDefault="006D4E4A" w:rsidP="006D4E4A">
      <w:pPr>
        <w:pStyle w:val="Heading2"/>
      </w:pPr>
      <w:r>
        <w:lastRenderedPageBreak/>
        <w:t>Membership</w:t>
      </w:r>
    </w:p>
    <w:p w14:paraId="2FFC88F9" w14:textId="77777777" w:rsidR="0008193F" w:rsidRPr="0008193F" w:rsidRDefault="0008193F" w:rsidP="0008193F">
      <w:pPr>
        <w:spacing w:after="0"/>
      </w:pPr>
    </w:p>
    <w:p w14:paraId="75532FBF" w14:textId="490A20DD" w:rsidR="001932D7" w:rsidRDefault="001932D7" w:rsidP="001932D7">
      <w:pPr>
        <w:rPr>
          <w:szCs w:val="24"/>
        </w:rPr>
      </w:pPr>
      <w:r>
        <w:t>We are seeking p</w:t>
      </w:r>
      <w:r>
        <w:rPr>
          <w:szCs w:val="24"/>
        </w:rPr>
        <w:t xml:space="preserve">sychological professionals with recognised expertise in the </w:t>
      </w:r>
      <w:r w:rsidR="0008193F">
        <w:rPr>
          <w:szCs w:val="24"/>
        </w:rPr>
        <w:t>f</w:t>
      </w:r>
      <w:r>
        <w:rPr>
          <w:szCs w:val="24"/>
        </w:rPr>
        <w:t>ollowing areas:</w:t>
      </w:r>
    </w:p>
    <w:p w14:paraId="5EEE3A92" w14:textId="77777777" w:rsidR="0008193F" w:rsidRDefault="0008193F" w:rsidP="00433068">
      <w:pPr>
        <w:pStyle w:val="ListParagraph"/>
        <w:numPr>
          <w:ilvl w:val="0"/>
          <w:numId w:val="2"/>
        </w:numPr>
        <w:rPr>
          <w:szCs w:val="24"/>
        </w:rPr>
        <w:sectPr w:rsidR="0008193F">
          <w:footerReference w:type="default" r:id="rId7"/>
          <w:pgSz w:w="11906" w:h="16838"/>
          <w:pgMar w:top="1440" w:right="1440" w:bottom="1440" w:left="1440" w:header="708" w:footer="708" w:gutter="0"/>
          <w:cols w:space="708"/>
          <w:docGrid w:linePitch="360"/>
        </w:sectPr>
      </w:pPr>
    </w:p>
    <w:p w14:paraId="135BA255" w14:textId="5F15B5D9" w:rsidR="00433068" w:rsidRPr="00974DD6" w:rsidRDefault="00433068" w:rsidP="00433068">
      <w:pPr>
        <w:pStyle w:val="ListParagraph"/>
        <w:numPr>
          <w:ilvl w:val="0"/>
          <w:numId w:val="2"/>
        </w:numPr>
        <w:rPr>
          <w:szCs w:val="24"/>
        </w:rPr>
      </w:pPr>
      <w:r w:rsidRPr="00974DD6">
        <w:rPr>
          <w:szCs w:val="24"/>
        </w:rPr>
        <w:t xml:space="preserve">Population/public health </w:t>
      </w:r>
    </w:p>
    <w:p w14:paraId="3D6F58BE" w14:textId="03F1F99A" w:rsidR="00433068" w:rsidRPr="00974DD6" w:rsidRDefault="00433068" w:rsidP="00433068">
      <w:pPr>
        <w:pStyle w:val="ListParagraph"/>
        <w:numPr>
          <w:ilvl w:val="0"/>
          <w:numId w:val="2"/>
        </w:numPr>
        <w:rPr>
          <w:szCs w:val="24"/>
        </w:rPr>
      </w:pPr>
      <w:r w:rsidRPr="00974DD6">
        <w:rPr>
          <w:szCs w:val="24"/>
        </w:rPr>
        <w:t>Training profession</w:t>
      </w:r>
      <w:r w:rsidR="00292118">
        <w:rPr>
          <w:szCs w:val="24"/>
        </w:rPr>
        <w:t>al</w:t>
      </w:r>
      <w:r w:rsidRPr="00974DD6">
        <w:rPr>
          <w:szCs w:val="24"/>
        </w:rPr>
        <w:t xml:space="preserve">s </w:t>
      </w:r>
    </w:p>
    <w:p w14:paraId="73AC3DE6" w14:textId="77777777" w:rsidR="00433068" w:rsidRPr="00974DD6" w:rsidRDefault="00433068" w:rsidP="00433068">
      <w:pPr>
        <w:pStyle w:val="ListParagraph"/>
        <w:numPr>
          <w:ilvl w:val="0"/>
          <w:numId w:val="2"/>
        </w:numPr>
        <w:rPr>
          <w:szCs w:val="24"/>
        </w:rPr>
      </w:pPr>
      <w:r w:rsidRPr="00974DD6">
        <w:rPr>
          <w:szCs w:val="24"/>
        </w:rPr>
        <w:t>Stroke</w:t>
      </w:r>
    </w:p>
    <w:p w14:paraId="31CF8855" w14:textId="77777777" w:rsidR="00433068" w:rsidRPr="00974DD6" w:rsidRDefault="00433068" w:rsidP="00433068">
      <w:pPr>
        <w:pStyle w:val="ListParagraph"/>
        <w:numPr>
          <w:ilvl w:val="0"/>
          <w:numId w:val="2"/>
        </w:numPr>
        <w:rPr>
          <w:szCs w:val="24"/>
        </w:rPr>
      </w:pPr>
      <w:r w:rsidRPr="00974DD6">
        <w:rPr>
          <w:szCs w:val="24"/>
        </w:rPr>
        <w:t>Cancer</w:t>
      </w:r>
    </w:p>
    <w:p w14:paraId="01ADEE63" w14:textId="77777777" w:rsidR="00433068" w:rsidRPr="00974DD6" w:rsidRDefault="00433068" w:rsidP="00433068">
      <w:pPr>
        <w:pStyle w:val="ListParagraph"/>
        <w:numPr>
          <w:ilvl w:val="0"/>
          <w:numId w:val="2"/>
        </w:numPr>
        <w:rPr>
          <w:szCs w:val="24"/>
        </w:rPr>
      </w:pPr>
      <w:r w:rsidRPr="00974DD6">
        <w:rPr>
          <w:szCs w:val="24"/>
        </w:rPr>
        <w:t>ICU</w:t>
      </w:r>
    </w:p>
    <w:p w14:paraId="089F06B6" w14:textId="77777777" w:rsidR="00433068" w:rsidRPr="00974DD6" w:rsidRDefault="00433068" w:rsidP="00433068">
      <w:pPr>
        <w:pStyle w:val="ListParagraph"/>
        <w:numPr>
          <w:ilvl w:val="0"/>
          <w:numId w:val="2"/>
        </w:numPr>
        <w:rPr>
          <w:szCs w:val="24"/>
        </w:rPr>
      </w:pPr>
      <w:r w:rsidRPr="00974DD6">
        <w:rPr>
          <w:szCs w:val="24"/>
        </w:rPr>
        <w:t>Cardiovascular</w:t>
      </w:r>
    </w:p>
    <w:p w14:paraId="57D1372E" w14:textId="77777777" w:rsidR="00433068" w:rsidRPr="00974DD6" w:rsidRDefault="00433068" w:rsidP="00433068">
      <w:pPr>
        <w:pStyle w:val="ListParagraph"/>
        <w:numPr>
          <w:ilvl w:val="0"/>
          <w:numId w:val="2"/>
        </w:numPr>
        <w:rPr>
          <w:szCs w:val="24"/>
        </w:rPr>
      </w:pPr>
      <w:r w:rsidRPr="00974DD6">
        <w:rPr>
          <w:szCs w:val="24"/>
        </w:rPr>
        <w:t>Respiratory</w:t>
      </w:r>
    </w:p>
    <w:p w14:paraId="103EBFFD" w14:textId="77777777" w:rsidR="00433068" w:rsidRPr="00974DD6" w:rsidRDefault="00433068" w:rsidP="00433068">
      <w:pPr>
        <w:pStyle w:val="ListParagraph"/>
        <w:numPr>
          <w:ilvl w:val="0"/>
          <w:numId w:val="2"/>
        </w:numPr>
        <w:rPr>
          <w:szCs w:val="24"/>
        </w:rPr>
      </w:pPr>
      <w:r w:rsidRPr="00974DD6">
        <w:rPr>
          <w:szCs w:val="24"/>
        </w:rPr>
        <w:t>Major trauma</w:t>
      </w:r>
    </w:p>
    <w:p w14:paraId="525800C2" w14:textId="77777777" w:rsidR="00433068" w:rsidRPr="00974DD6" w:rsidRDefault="00433068" w:rsidP="00433068">
      <w:pPr>
        <w:pStyle w:val="ListParagraph"/>
        <w:numPr>
          <w:ilvl w:val="0"/>
          <w:numId w:val="2"/>
        </w:numPr>
        <w:rPr>
          <w:szCs w:val="24"/>
        </w:rPr>
      </w:pPr>
      <w:r w:rsidRPr="00974DD6">
        <w:rPr>
          <w:szCs w:val="24"/>
        </w:rPr>
        <w:t>Children’s health – acute</w:t>
      </w:r>
    </w:p>
    <w:p w14:paraId="152206FE" w14:textId="77777777" w:rsidR="00433068" w:rsidRPr="00974DD6" w:rsidRDefault="00433068" w:rsidP="00433068">
      <w:pPr>
        <w:pStyle w:val="ListParagraph"/>
        <w:numPr>
          <w:ilvl w:val="0"/>
          <w:numId w:val="2"/>
        </w:numPr>
        <w:rPr>
          <w:szCs w:val="24"/>
        </w:rPr>
      </w:pPr>
      <w:r w:rsidRPr="00974DD6">
        <w:rPr>
          <w:szCs w:val="24"/>
        </w:rPr>
        <w:t>Children’s health – long term conditions</w:t>
      </w:r>
    </w:p>
    <w:p w14:paraId="5573030E" w14:textId="77777777" w:rsidR="00433068" w:rsidRDefault="00433068" w:rsidP="00204EA3">
      <w:pPr>
        <w:pStyle w:val="ListParagraph"/>
        <w:numPr>
          <w:ilvl w:val="0"/>
          <w:numId w:val="2"/>
        </w:numPr>
        <w:rPr>
          <w:szCs w:val="24"/>
        </w:rPr>
      </w:pPr>
      <w:r w:rsidRPr="00433068">
        <w:rPr>
          <w:szCs w:val="24"/>
        </w:rPr>
        <w:t>IAPT LTC - D</w:t>
      </w:r>
      <w:r>
        <w:rPr>
          <w:szCs w:val="24"/>
        </w:rPr>
        <w:t>iabetes, Respiratory, Cardiovascular</w:t>
      </w:r>
    </w:p>
    <w:p w14:paraId="3849268C" w14:textId="77777777" w:rsidR="00433068" w:rsidRPr="00433068" w:rsidRDefault="00433068" w:rsidP="00204EA3">
      <w:pPr>
        <w:pStyle w:val="ListParagraph"/>
        <w:numPr>
          <w:ilvl w:val="0"/>
          <w:numId w:val="2"/>
        </w:numPr>
        <w:rPr>
          <w:szCs w:val="24"/>
        </w:rPr>
      </w:pPr>
      <w:r w:rsidRPr="00433068">
        <w:rPr>
          <w:szCs w:val="24"/>
        </w:rPr>
        <w:t>Persistent physical symptoms</w:t>
      </w:r>
    </w:p>
    <w:p w14:paraId="6958A95D" w14:textId="77777777" w:rsidR="00433068" w:rsidRDefault="00433068" w:rsidP="003964D2">
      <w:pPr>
        <w:pStyle w:val="ListParagraph"/>
        <w:numPr>
          <w:ilvl w:val="0"/>
          <w:numId w:val="2"/>
        </w:numPr>
        <w:rPr>
          <w:szCs w:val="24"/>
        </w:rPr>
      </w:pPr>
      <w:r w:rsidRPr="00433068">
        <w:rPr>
          <w:szCs w:val="24"/>
        </w:rPr>
        <w:t>Neurological conditions</w:t>
      </w:r>
    </w:p>
    <w:p w14:paraId="09665331" w14:textId="77777777" w:rsidR="001932D7" w:rsidRDefault="00433068" w:rsidP="003964D2">
      <w:pPr>
        <w:pStyle w:val="ListParagraph"/>
        <w:numPr>
          <w:ilvl w:val="0"/>
          <w:numId w:val="2"/>
        </w:numPr>
        <w:rPr>
          <w:szCs w:val="24"/>
        </w:rPr>
      </w:pPr>
      <w:r w:rsidRPr="00433068">
        <w:rPr>
          <w:szCs w:val="24"/>
        </w:rPr>
        <w:t>Long Covid</w:t>
      </w:r>
    </w:p>
    <w:p w14:paraId="4E3FE5AB" w14:textId="77777777" w:rsidR="0008193F" w:rsidRDefault="0008193F" w:rsidP="00433068">
      <w:pPr>
        <w:rPr>
          <w:szCs w:val="24"/>
        </w:rPr>
        <w:sectPr w:rsidR="0008193F" w:rsidSect="0008193F">
          <w:type w:val="continuous"/>
          <w:pgSz w:w="11906" w:h="16838"/>
          <w:pgMar w:top="1440" w:right="1440" w:bottom="1440" w:left="1440" w:header="708" w:footer="708" w:gutter="0"/>
          <w:cols w:num="2" w:space="708"/>
          <w:docGrid w:linePitch="360"/>
        </w:sectPr>
      </w:pPr>
    </w:p>
    <w:p w14:paraId="359242B0" w14:textId="7449CCBA" w:rsidR="00433068" w:rsidRDefault="00433068" w:rsidP="00433068">
      <w:pPr>
        <w:rPr>
          <w:szCs w:val="24"/>
        </w:rPr>
      </w:pPr>
    </w:p>
    <w:p w14:paraId="47152324" w14:textId="0E254314" w:rsidR="00433068" w:rsidRDefault="006C2519" w:rsidP="00433068">
      <w:pPr>
        <w:rPr>
          <w:szCs w:val="24"/>
        </w:rPr>
      </w:pPr>
      <w:r w:rsidRPr="00CF7EDE">
        <w:rPr>
          <w:szCs w:val="24"/>
        </w:rPr>
        <w:t xml:space="preserve">Members will be appointed because of their relevant experience or specific skills.  They </w:t>
      </w:r>
      <w:r w:rsidR="006D4E4A">
        <w:rPr>
          <w:szCs w:val="24"/>
        </w:rPr>
        <w:t xml:space="preserve">will be appointed as individuals and not </w:t>
      </w:r>
      <w:r w:rsidRPr="00CF7EDE">
        <w:rPr>
          <w:szCs w:val="24"/>
        </w:rPr>
        <w:t xml:space="preserve">as representatives of particular organisations.  </w:t>
      </w:r>
    </w:p>
    <w:p w14:paraId="06D50206" w14:textId="53AB99D1" w:rsidR="006D4E4A" w:rsidRPr="00433068" w:rsidRDefault="006D4E4A" w:rsidP="00433068">
      <w:pPr>
        <w:rPr>
          <w:szCs w:val="24"/>
        </w:rPr>
      </w:pPr>
      <w:r>
        <w:rPr>
          <w:szCs w:val="24"/>
        </w:rPr>
        <w:t xml:space="preserve">The maximum size of the core group is not intended to exceed 20 members in total. (including chair, deputy chair and project manager support). It is recognised that members may not have the total breadth of experience as described and therefore the inputs of the external reference group will be key in delivering the outputs.  </w:t>
      </w:r>
    </w:p>
    <w:p w14:paraId="02FC34B6" w14:textId="77777777" w:rsidR="0008193F" w:rsidRDefault="0008193F" w:rsidP="001932D7">
      <w:pPr>
        <w:pStyle w:val="Heading2"/>
      </w:pPr>
    </w:p>
    <w:p w14:paraId="10F207AE" w14:textId="249BAB02" w:rsidR="001932D7" w:rsidRDefault="006D4E4A" w:rsidP="001932D7">
      <w:pPr>
        <w:pStyle w:val="Heading2"/>
      </w:pPr>
      <w:r>
        <w:t xml:space="preserve">Core Group </w:t>
      </w:r>
      <w:r w:rsidR="001932D7">
        <w:t>Commitment</w:t>
      </w:r>
    </w:p>
    <w:p w14:paraId="0DC2D8E1" w14:textId="77777777" w:rsidR="0008193F" w:rsidRPr="0008193F" w:rsidRDefault="0008193F" w:rsidP="0008193F">
      <w:pPr>
        <w:spacing w:after="0"/>
      </w:pPr>
    </w:p>
    <w:p w14:paraId="301D4B65" w14:textId="4BCAB6D0" w:rsidR="00433068" w:rsidRDefault="00433068" w:rsidP="00433068">
      <w:pPr>
        <w:rPr>
          <w:szCs w:val="24"/>
        </w:rPr>
      </w:pPr>
      <w:r>
        <w:rPr>
          <w:szCs w:val="24"/>
        </w:rPr>
        <w:t>The E</w:t>
      </w:r>
      <w:r w:rsidR="007A47CB">
        <w:rPr>
          <w:szCs w:val="24"/>
        </w:rPr>
        <w:t xml:space="preserve">xpert </w:t>
      </w:r>
      <w:r>
        <w:rPr>
          <w:szCs w:val="24"/>
        </w:rPr>
        <w:t>A</w:t>
      </w:r>
      <w:r w:rsidR="007A47CB">
        <w:rPr>
          <w:szCs w:val="24"/>
        </w:rPr>
        <w:t>dvisory</w:t>
      </w:r>
      <w:r w:rsidR="006D4E4A">
        <w:rPr>
          <w:szCs w:val="24"/>
        </w:rPr>
        <w:t xml:space="preserve"> Core </w:t>
      </w:r>
      <w:r>
        <w:rPr>
          <w:szCs w:val="24"/>
        </w:rPr>
        <w:t>G</w:t>
      </w:r>
      <w:r w:rsidR="006D4E4A">
        <w:rPr>
          <w:szCs w:val="24"/>
        </w:rPr>
        <w:t>roup</w:t>
      </w:r>
      <w:r>
        <w:rPr>
          <w:szCs w:val="24"/>
        </w:rPr>
        <w:t xml:space="preserve"> will meet </w:t>
      </w:r>
      <w:r w:rsidR="00292118">
        <w:rPr>
          <w:szCs w:val="24"/>
        </w:rPr>
        <w:t>every other month</w:t>
      </w:r>
      <w:r>
        <w:rPr>
          <w:szCs w:val="24"/>
        </w:rPr>
        <w:t xml:space="preserve"> for 2 hours.  The first meeting will be arranged to take place </w:t>
      </w:r>
      <w:r w:rsidR="006D4E4A">
        <w:rPr>
          <w:szCs w:val="24"/>
        </w:rPr>
        <w:t xml:space="preserve">on </w:t>
      </w:r>
      <w:r w:rsidR="006D4E4A" w:rsidRPr="006D4E4A">
        <w:rPr>
          <w:b/>
          <w:szCs w:val="24"/>
        </w:rPr>
        <w:t>2</w:t>
      </w:r>
      <w:r w:rsidR="005957DD">
        <w:rPr>
          <w:b/>
          <w:szCs w:val="24"/>
        </w:rPr>
        <w:t>2</w:t>
      </w:r>
      <w:r w:rsidR="005957DD" w:rsidRPr="005957DD">
        <w:rPr>
          <w:b/>
          <w:szCs w:val="24"/>
          <w:vertAlign w:val="superscript"/>
        </w:rPr>
        <w:t>nd</w:t>
      </w:r>
      <w:r w:rsidR="005957DD">
        <w:rPr>
          <w:b/>
          <w:szCs w:val="24"/>
        </w:rPr>
        <w:t xml:space="preserve"> </w:t>
      </w:r>
      <w:r w:rsidR="006D4E4A" w:rsidRPr="006D4E4A">
        <w:rPr>
          <w:b/>
          <w:szCs w:val="24"/>
        </w:rPr>
        <w:t>June 2021</w:t>
      </w:r>
      <w:r w:rsidR="007A47CB">
        <w:rPr>
          <w:b/>
          <w:szCs w:val="24"/>
        </w:rPr>
        <w:t xml:space="preserve"> via MS Teams</w:t>
      </w:r>
      <w:r w:rsidR="004B2A94">
        <w:rPr>
          <w:szCs w:val="24"/>
        </w:rPr>
        <w:t xml:space="preserve"> and it expected that 6 meetings will take place by end of March 2022 at which point the E</w:t>
      </w:r>
      <w:r w:rsidR="00E775EC">
        <w:rPr>
          <w:szCs w:val="24"/>
        </w:rPr>
        <w:t xml:space="preserve">xpert </w:t>
      </w:r>
      <w:r w:rsidR="004B2A94">
        <w:rPr>
          <w:szCs w:val="24"/>
        </w:rPr>
        <w:t>A</w:t>
      </w:r>
      <w:r w:rsidR="00E775EC">
        <w:rPr>
          <w:szCs w:val="24"/>
        </w:rPr>
        <w:t xml:space="preserve">dvisory </w:t>
      </w:r>
      <w:r w:rsidR="004B2A94">
        <w:rPr>
          <w:szCs w:val="24"/>
        </w:rPr>
        <w:t>G</w:t>
      </w:r>
      <w:r w:rsidR="00E775EC">
        <w:rPr>
          <w:szCs w:val="24"/>
        </w:rPr>
        <w:t>roup</w:t>
      </w:r>
      <w:r w:rsidR="004B2A94">
        <w:rPr>
          <w:szCs w:val="24"/>
        </w:rPr>
        <w:t xml:space="preserve"> will be reviewed</w:t>
      </w:r>
      <w:r>
        <w:rPr>
          <w:szCs w:val="24"/>
        </w:rPr>
        <w:t xml:space="preserve">.  </w:t>
      </w:r>
    </w:p>
    <w:p w14:paraId="4824391F" w14:textId="77777777" w:rsidR="00CF7EDE" w:rsidRDefault="001932D7" w:rsidP="0008193F">
      <w:pPr>
        <w:pStyle w:val="ListParagraph"/>
        <w:numPr>
          <w:ilvl w:val="0"/>
          <w:numId w:val="5"/>
        </w:numPr>
      </w:pPr>
      <w:r>
        <w:t xml:space="preserve">Members will be expected to attend </w:t>
      </w:r>
      <w:r w:rsidR="00CF7EDE">
        <w:t>five out six meetings</w:t>
      </w:r>
      <w:r w:rsidR="00D22F30">
        <w:t>.</w:t>
      </w:r>
      <w:r w:rsidR="004B2A94">
        <w:t xml:space="preserve"> </w:t>
      </w:r>
      <w:bookmarkStart w:id="0" w:name="_GoBack"/>
      <w:bookmarkEnd w:id="0"/>
    </w:p>
    <w:p w14:paraId="755DE13E" w14:textId="5C87285C" w:rsidR="001932D7" w:rsidRDefault="001932D7" w:rsidP="0008193F">
      <w:pPr>
        <w:pStyle w:val="ListParagraph"/>
        <w:numPr>
          <w:ilvl w:val="0"/>
          <w:numId w:val="5"/>
        </w:numPr>
      </w:pPr>
      <w:r>
        <w:t>Meetings will be held online.</w:t>
      </w:r>
    </w:p>
    <w:p w14:paraId="2D970315" w14:textId="77777777" w:rsidR="001932D7" w:rsidRDefault="001932D7" w:rsidP="0008193F">
      <w:pPr>
        <w:pStyle w:val="ListParagraph"/>
        <w:numPr>
          <w:ilvl w:val="0"/>
          <w:numId w:val="5"/>
        </w:numPr>
      </w:pPr>
      <w:r>
        <w:t xml:space="preserve">Members will be expected to </w:t>
      </w:r>
      <w:r w:rsidR="006C2519">
        <w:t xml:space="preserve">set aside sufficient time to attend the meetings and </w:t>
      </w:r>
      <w:r>
        <w:t xml:space="preserve">commit time to reading the papers and may be asked to present and share their expertise at meetings.  </w:t>
      </w:r>
    </w:p>
    <w:p w14:paraId="155E0457" w14:textId="77777777" w:rsidR="006C2519" w:rsidRDefault="006C2519" w:rsidP="0008193F">
      <w:pPr>
        <w:pStyle w:val="ListParagraph"/>
        <w:numPr>
          <w:ilvl w:val="0"/>
          <w:numId w:val="5"/>
        </w:numPr>
      </w:pPr>
      <w:r>
        <w:t xml:space="preserve">Members will be expected to contribute to the outputs of the group.  </w:t>
      </w:r>
    </w:p>
    <w:p w14:paraId="75491D00" w14:textId="66F80E5D" w:rsidR="0008193F" w:rsidRDefault="006C2519" w:rsidP="006D4E4A">
      <w:pPr>
        <w:pStyle w:val="ListParagraph"/>
        <w:numPr>
          <w:ilvl w:val="0"/>
          <w:numId w:val="5"/>
        </w:numPr>
      </w:pPr>
      <w:r>
        <w:t xml:space="preserve">Members will be expected to work with the co-chairs and support as required between meetings. </w:t>
      </w:r>
    </w:p>
    <w:p w14:paraId="554C046A" w14:textId="77777777" w:rsidR="0008193F" w:rsidRDefault="0008193F" w:rsidP="0008193F">
      <w:pPr>
        <w:pStyle w:val="ListParagraph"/>
      </w:pPr>
    </w:p>
    <w:p w14:paraId="6FC078A5" w14:textId="6B9B6D48" w:rsidR="006D4E4A" w:rsidRDefault="006D4E4A" w:rsidP="006D4E4A">
      <w:pPr>
        <w:pStyle w:val="Heading2"/>
      </w:pPr>
      <w:r>
        <w:t>External Reference Group Commitment</w:t>
      </w:r>
    </w:p>
    <w:p w14:paraId="4BED59D0" w14:textId="77777777" w:rsidR="0008193F" w:rsidRPr="0008193F" w:rsidRDefault="0008193F" w:rsidP="0008193F"/>
    <w:p w14:paraId="3D0F08A5" w14:textId="4FF9157B" w:rsidR="006D4E4A" w:rsidRDefault="007A47CB">
      <w:r>
        <w:t xml:space="preserve">The Expert Advisory External Reference Group </w:t>
      </w:r>
      <w:r w:rsidR="006D4E4A">
        <w:t xml:space="preserve">will be expected to contribute to the work of the </w:t>
      </w:r>
      <w:r>
        <w:t xml:space="preserve">core </w:t>
      </w:r>
      <w:r w:rsidR="006D4E4A">
        <w:t xml:space="preserve">group via comment and input to consultative processes. </w:t>
      </w:r>
    </w:p>
    <w:p w14:paraId="217F7F07" w14:textId="77777777" w:rsidR="007A47CB" w:rsidRPr="0008193F" w:rsidRDefault="006D4E4A" w:rsidP="0008193F">
      <w:pPr>
        <w:pStyle w:val="ListParagraph"/>
        <w:numPr>
          <w:ilvl w:val="0"/>
          <w:numId w:val="6"/>
        </w:numPr>
        <w:rPr>
          <w:rFonts w:eastAsiaTheme="majorEastAsia" w:cstheme="majorBidi"/>
          <w:b/>
          <w:sz w:val="26"/>
          <w:szCs w:val="26"/>
        </w:rPr>
      </w:pPr>
      <w:r>
        <w:t xml:space="preserve">Members will be expected to contribute to the outputs of the group. </w:t>
      </w:r>
    </w:p>
    <w:p w14:paraId="159F4E31" w14:textId="77777777" w:rsidR="0008193F" w:rsidRPr="0008193F" w:rsidRDefault="007A47CB" w:rsidP="0008193F">
      <w:pPr>
        <w:pStyle w:val="ListParagraph"/>
        <w:numPr>
          <w:ilvl w:val="0"/>
          <w:numId w:val="6"/>
        </w:numPr>
        <w:rPr>
          <w:rFonts w:eastAsiaTheme="majorEastAsia" w:cstheme="majorBidi"/>
          <w:b/>
          <w:sz w:val="26"/>
          <w:szCs w:val="26"/>
        </w:rPr>
      </w:pPr>
      <w:r>
        <w:t>Members are not required to attend the Core Group meetings</w:t>
      </w:r>
      <w:r w:rsidR="006D4E4A">
        <w:t xml:space="preserve"> </w:t>
      </w:r>
    </w:p>
    <w:p w14:paraId="3CBDA1B1" w14:textId="07B5CF58" w:rsidR="0008193F" w:rsidRDefault="0008193F" w:rsidP="0008193F">
      <w:pPr>
        <w:pStyle w:val="Heading2"/>
      </w:pPr>
      <w:r>
        <w:lastRenderedPageBreak/>
        <w:t>How to apply</w:t>
      </w:r>
    </w:p>
    <w:p w14:paraId="51F0C576" w14:textId="77777777" w:rsidR="0008193F" w:rsidRPr="0008193F" w:rsidRDefault="0008193F" w:rsidP="0008193F">
      <w:pPr>
        <w:spacing w:after="0"/>
      </w:pPr>
    </w:p>
    <w:p w14:paraId="1CD4289F" w14:textId="6130B14A" w:rsidR="0008193F" w:rsidRDefault="0008193F" w:rsidP="0008193F">
      <w:r>
        <w:t xml:space="preserve">A </w:t>
      </w:r>
      <w:r w:rsidR="004D1DD2">
        <w:t>b</w:t>
      </w:r>
      <w:r>
        <w:t>rief CV and Expressions of Interest of 500 words or less describing how you meet the Person Specification is required. It should include your professional group and specialty area(s) in which you have expertise. Please indicate if you wish to be considered for the Core group or the External Reference Group or both. This should be sent to Dr Gita Bhutani, PPN England Co-Chair (</w:t>
      </w:r>
      <w:hyperlink r:id="rId8" w:history="1">
        <w:r w:rsidRPr="00D51A92">
          <w:rPr>
            <w:rStyle w:val="Hyperlink"/>
          </w:rPr>
          <w:t>gita.bhutani@lscft.nhs.uk</w:t>
        </w:r>
      </w:hyperlink>
      <w:r>
        <w:t>) no later than 24</w:t>
      </w:r>
      <w:r w:rsidRPr="0008193F">
        <w:rPr>
          <w:vertAlign w:val="superscript"/>
        </w:rPr>
        <w:t>th</w:t>
      </w:r>
      <w:r>
        <w:t xml:space="preserve"> May 2021. </w:t>
      </w:r>
    </w:p>
    <w:p w14:paraId="0AE1627C" w14:textId="06C9628F" w:rsidR="00433068" w:rsidRDefault="00433068" w:rsidP="003A2A8C">
      <w:pPr>
        <w:pStyle w:val="Heading2"/>
      </w:pPr>
      <w:r>
        <w:t>Person Specification</w:t>
      </w:r>
      <w:r w:rsidR="006C2519">
        <w:t xml:space="preserve"> for Psychological Professions Members</w:t>
      </w:r>
    </w:p>
    <w:p w14:paraId="76D6C730" w14:textId="77777777" w:rsidR="0008193F" w:rsidRPr="0008193F" w:rsidRDefault="0008193F" w:rsidP="0008193F">
      <w:pPr>
        <w:spacing w:after="0"/>
      </w:pPr>
    </w:p>
    <w:tbl>
      <w:tblPr>
        <w:tblStyle w:val="TableGrid"/>
        <w:tblW w:w="0" w:type="auto"/>
        <w:tblLook w:val="04A0" w:firstRow="1" w:lastRow="0" w:firstColumn="1" w:lastColumn="0" w:noHBand="0" w:noVBand="1"/>
      </w:tblPr>
      <w:tblGrid>
        <w:gridCol w:w="3005"/>
        <w:gridCol w:w="3005"/>
        <w:gridCol w:w="3006"/>
      </w:tblGrid>
      <w:tr w:rsidR="00433068" w:rsidRPr="003A2A8C" w14:paraId="352C6871" w14:textId="77777777" w:rsidTr="003A2A8C">
        <w:trPr>
          <w:tblHeader/>
        </w:trPr>
        <w:tc>
          <w:tcPr>
            <w:tcW w:w="3005" w:type="dxa"/>
          </w:tcPr>
          <w:p w14:paraId="038BE885" w14:textId="77777777" w:rsidR="00433068" w:rsidRPr="003A2A8C" w:rsidRDefault="00433068" w:rsidP="00F0567C">
            <w:pPr>
              <w:rPr>
                <w:rFonts w:cs="Arial"/>
                <w:szCs w:val="24"/>
              </w:rPr>
            </w:pPr>
          </w:p>
        </w:tc>
        <w:tc>
          <w:tcPr>
            <w:tcW w:w="3005" w:type="dxa"/>
          </w:tcPr>
          <w:p w14:paraId="2963F602" w14:textId="77777777" w:rsidR="00433068" w:rsidRPr="003A2A8C" w:rsidRDefault="00433068" w:rsidP="00F0567C">
            <w:pPr>
              <w:rPr>
                <w:rFonts w:cs="Arial"/>
                <w:szCs w:val="24"/>
              </w:rPr>
            </w:pPr>
            <w:r w:rsidRPr="003A2A8C">
              <w:rPr>
                <w:rFonts w:cs="Arial"/>
                <w:szCs w:val="24"/>
              </w:rPr>
              <w:t>Essential</w:t>
            </w:r>
          </w:p>
        </w:tc>
        <w:tc>
          <w:tcPr>
            <w:tcW w:w="3006" w:type="dxa"/>
          </w:tcPr>
          <w:p w14:paraId="7AE16D56" w14:textId="77777777" w:rsidR="00433068" w:rsidRPr="003A2A8C" w:rsidRDefault="00433068" w:rsidP="00F0567C">
            <w:pPr>
              <w:rPr>
                <w:rFonts w:cs="Arial"/>
                <w:szCs w:val="24"/>
              </w:rPr>
            </w:pPr>
            <w:r w:rsidRPr="003A2A8C">
              <w:rPr>
                <w:rFonts w:cs="Arial"/>
                <w:szCs w:val="24"/>
              </w:rPr>
              <w:t>Desirable</w:t>
            </w:r>
          </w:p>
        </w:tc>
      </w:tr>
      <w:tr w:rsidR="00433068" w:rsidRPr="003A2A8C" w14:paraId="6039771B" w14:textId="77777777" w:rsidTr="00433068">
        <w:tc>
          <w:tcPr>
            <w:tcW w:w="3005" w:type="dxa"/>
          </w:tcPr>
          <w:p w14:paraId="03AF759F" w14:textId="77777777" w:rsidR="00433068" w:rsidRPr="003A2A8C" w:rsidRDefault="00433068" w:rsidP="00F0567C">
            <w:pPr>
              <w:rPr>
                <w:rFonts w:cs="Arial"/>
                <w:szCs w:val="24"/>
              </w:rPr>
            </w:pPr>
            <w:r w:rsidRPr="003A2A8C">
              <w:rPr>
                <w:rFonts w:cs="Arial"/>
                <w:szCs w:val="24"/>
              </w:rPr>
              <w:t>Experience</w:t>
            </w:r>
          </w:p>
        </w:tc>
        <w:tc>
          <w:tcPr>
            <w:tcW w:w="3005" w:type="dxa"/>
          </w:tcPr>
          <w:p w14:paraId="7D3FFB92" w14:textId="77777777" w:rsidR="00433068" w:rsidRPr="003A2A8C" w:rsidRDefault="00433068" w:rsidP="00433068">
            <w:pPr>
              <w:rPr>
                <w:rFonts w:cs="Arial"/>
                <w:szCs w:val="24"/>
              </w:rPr>
            </w:pPr>
            <w:r w:rsidRPr="003A2A8C">
              <w:rPr>
                <w:rFonts w:cs="Arial"/>
                <w:szCs w:val="24"/>
              </w:rPr>
              <w:t>Significant experience as a clinician and/or academic in a relevant field</w:t>
            </w:r>
          </w:p>
          <w:p w14:paraId="1AA313B1" w14:textId="77777777" w:rsidR="00433068" w:rsidRPr="003A2A8C" w:rsidRDefault="00433068" w:rsidP="00F0567C">
            <w:pPr>
              <w:rPr>
                <w:rFonts w:cs="Arial"/>
                <w:szCs w:val="24"/>
              </w:rPr>
            </w:pPr>
          </w:p>
          <w:p w14:paraId="7D372651" w14:textId="77777777" w:rsidR="00433068" w:rsidRPr="003A2A8C" w:rsidRDefault="00433068" w:rsidP="00433068">
            <w:pPr>
              <w:rPr>
                <w:rFonts w:cs="Arial"/>
                <w:szCs w:val="24"/>
              </w:rPr>
            </w:pPr>
            <w:r w:rsidRPr="003A2A8C">
              <w:rPr>
                <w:rFonts w:cs="Arial"/>
                <w:szCs w:val="24"/>
              </w:rPr>
              <w:t>Experience of working in multidisciplinary committees</w:t>
            </w:r>
          </w:p>
          <w:p w14:paraId="47C5FA65" w14:textId="77777777" w:rsidR="00433068" w:rsidRPr="003A2A8C" w:rsidRDefault="00433068" w:rsidP="00F0567C">
            <w:pPr>
              <w:rPr>
                <w:rFonts w:cs="Arial"/>
                <w:szCs w:val="24"/>
              </w:rPr>
            </w:pPr>
          </w:p>
          <w:p w14:paraId="1123D008" w14:textId="77777777" w:rsidR="00433068" w:rsidRPr="003A2A8C" w:rsidRDefault="00433068" w:rsidP="00433068">
            <w:pPr>
              <w:rPr>
                <w:rFonts w:cs="Arial"/>
                <w:szCs w:val="24"/>
              </w:rPr>
            </w:pPr>
            <w:r w:rsidRPr="003A2A8C">
              <w:rPr>
                <w:rFonts w:cs="Arial"/>
                <w:szCs w:val="24"/>
              </w:rPr>
              <w:t>Able to access relevant networks/professional bodies for additional inputs</w:t>
            </w:r>
          </w:p>
          <w:p w14:paraId="25F0867E" w14:textId="77777777" w:rsidR="00433068" w:rsidRPr="003A2A8C" w:rsidRDefault="00433068" w:rsidP="00F0567C">
            <w:pPr>
              <w:rPr>
                <w:rFonts w:cs="Arial"/>
                <w:szCs w:val="24"/>
              </w:rPr>
            </w:pPr>
          </w:p>
        </w:tc>
        <w:tc>
          <w:tcPr>
            <w:tcW w:w="3006" w:type="dxa"/>
          </w:tcPr>
          <w:p w14:paraId="17646379" w14:textId="77777777" w:rsidR="00433068" w:rsidRPr="003A2A8C" w:rsidRDefault="00433068" w:rsidP="00433068">
            <w:pPr>
              <w:pStyle w:val="Default"/>
            </w:pPr>
            <w:r w:rsidRPr="003A2A8C">
              <w:t xml:space="preserve">Experience of working with </w:t>
            </w:r>
            <w:r w:rsidR="003A2A8C" w:rsidRPr="003A2A8C">
              <w:t>the National Psychological Professions Workforce Group</w:t>
            </w:r>
            <w:r w:rsidRPr="003A2A8C">
              <w:t xml:space="preserve"> </w:t>
            </w:r>
            <w:r w:rsidR="003A2A8C" w:rsidRPr="003A2A8C">
              <w:t>or Psychological Professions Networks or NHSE/I/HEE in relation to workforce development</w:t>
            </w:r>
          </w:p>
          <w:p w14:paraId="0148C851" w14:textId="77777777" w:rsidR="00433068" w:rsidRPr="003A2A8C" w:rsidRDefault="00433068" w:rsidP="00F0567C">
            <w:pPr>
              <w:rPr>
                <w:rFonts w:cs="Arial"/>
                <w:szCs w:val="24"/>
              </w:rPr>
            </w:pPr>
          </w:p>
        </w:tc>
      </w:tr>
      <w:tr w:rsidR="00433068" w:rsidRPr="003A2A8C" w14:paraId="3610A78A" w14:textId="77777777" w:rsidTr="00433068">
        <w:tc>
          <w:tcPr>
            <w:tcW w:w="3005" w:type="dxa"/>
          </w:tcPr>
          <w:p w14:paraId="179B430B" w14:textId="77777777" w:rsidR="00433068" w:rsidRPr="003A2A8C" w:rsidRDefault="00433068" w:rsidP="00F0567C">
            <w:pPr>
              <w:rPr>
                <w:rFonts w:cs="Arial"/>
                <w:szCs w:val="24"/>
              </w:rPr>
            </w:pPr>
            <w:r w:rsidRPr="003A2A8C">
              <w:rPr>
                <w:rFonts w:cs="Arial"/>
                <w:szCs w:val="24"/>
              </w:rPr>
              <w:t>Skills</w:t>
            </w:r>
          </w:p>
        </w:tc>
        <w:tc>
          <w:tcPr>
            <w:tcW w:w="3005" w:type="dxa"/>
          </w:tcPr>
          <w:p w14:paraId="3A67C215" w14:textId="77777777" w:rsidR="00433068" w:rsidRPr="003A2A8C" w:rsidRDefault="00433068" w:rsidP="00433068">
            <w:pPr>
              <w:pStyle w:val="Default"/>
            </w:pPr>
            <w:r w:rsidRPr="003A2A8C">
              <w:t xml:space="preserve">Excellent verbal and written communication skills </w:t>
            </w:r>
          </w:p>
          <w:p w14:paraId="398D653D" w14:textId="77777777" w:rsidR="00433068" w:rsidRPr="003A2A8C" w:rsidRDefault="00433068" w:rsidP="00433068">
            <w:pPr>
              <w:pStyle w:val="Default"/>
              <w:rPr>
                <w:color w:val="auto"/>
              </w:rPr>
            </w:pPr>
          </w:p>
          <w:p w14:paraId="0071A530" w14:textId="77777777" w:rsidR="00433068" w:rsidRPr="003A2A8C" w:rsidRDefault="00433068" w:rsidP="00433068">
            <w:pPr>
              <w:pStyle w:val="Default"/>
            </w:pPr>
            <w:r w:rsidRPr="003A2A8C">
              <w:t xml:space="preserve">General critical appraisal skills </w:t>
            </w:r>
          </w:p>
          <w:p w14:paraId="22DAD59E" w14:textId="77777777" w:rsidR="00433068" w:rsidRPr="003A2A8C" w:rsidRDefault="00433068" w:rsidP="00F0567C">
            <w:pPr>
              <w:rPr>
                <w:rFonts w:cs="Arial"/>
                <w:szCs w:val="24"/>
              </w:rPr>
            </w:pPr>
          </w:p>
        </w:tc>
        <w:tc>
          <w:tcPr>
            <w:tcW w:w="3006" w:type="dxa"/>
          </w:tcPr>
          <w:p w14:paraId="4041C433" w14:textId="77777777" w:rsidR="00433068" w:rsidRPr="003A2A8C" w:rsidRDefault="00433068" w:rsidP="00F0567C">
            <w:pPr>
              <w:rPr>
                <w:rFonts w:cs="Arial"/>
                <w:szCs w:val="24"/>
              </w:rPr>
            </w:pPr>
          </w:p>
        </w:tc>
      </w:tr>
      <w:tr w:rsidR="00433068" w:rsidRPr="003A2A8C" w14:paraId="71F59C25" w14:textId="77777777" w:rsidTr="00433068">
        <w:tc>
          <w:tcPr>
            <w:tcW w:w="3005" w:type="dxa"/>
          </w:tcPr>
          <w:p w14:paraId="37F8348C" w14:textId="77777777" w:rsidR="00433068" w:rsidRPr="003A2A8C" w:rsidRDefault="00433068" w:rsidP="00F0567C">
            <w:pPr>
              <w:rPr>
                <w:rFonts w:cs="Arial"/>
                <w:szCs w:val="24"/>
              </w:rPr>
            </w:pPr>
            <w:r w:rsidRPr="003A2A8C">
              <w:rPr>
                <w:rFonts w:cs="Arial"/>
                <w:szCs w:val="24"/>
              </w:rPr>
              <w:t>Knowledge</w:t>
            </w:r>
          </w:p>
        </w:tc>
        <w:tc>
          <w:tcPr>
            <w:tcW w:w="3005" w:type="dxa"/>
          </w:tcPr>
          <w:p w14:paraId="4804A96A" w14:textId="0711A3BF" w:rsidR="00433068" w:rsidRPr="003A2A8C" w:rsidRDefault="00433068" w:rsidP="00433068">
            <w:pPr>
              <w:pStyle w:val="Default"/>
            </w:pPr>
            <w:r w:rsidRPr="003A2A8C">
              <w:t>Understanding of NHS</w:t>
            </w:r>
            <w:r w:rsidR="00BC38DE">
              <w:t xml:space="preserve"> and social care</w:t>
            </w:r>
            <w:r w:rsidRPr="003A2A8C">
              <w:t xml:space="preserve"> structure and current service delivery </w:t>
            </w:r>
          </w:p>
          <w:p w14:paraId="75E41714" w14:textId="77777777" w:rsidR="00433068" w:rsidRPr="003A2A8C" w:rsidRDefault="00433068" w:rsidP="00433068">
            <w:pPr>
              <w:pStyle w:val="Default"/>
            </w:pPr>
          </w:p>
          <w:p w14:paraId="4A5656B9" w14:textId="77777777" w:rsidR="00433068" w:rsidRPr="003A2A8C" w:rsidRDefault="00433068" w:rsidP="00433068">
            <w:pPr>
              <w:pStyle w:val="Default"/>
            </w:pPr>
            <w:r w:rsidRPr="003A2A8C">
              <w:t>Understanding of current workforce priorities and the challenges and opportunities for the psychological professions</w:t>
            </w:r>
          </w:p>
          <w:p w14:paraId="6D49C5CE" w14:textId="77777777" w:rsidR="00433068" w:rsidRPr="003A2A8C" w:rsidRDefault="00433068" w:rsidP="00433068">
            <w:pPr>
              <w:pStyle w:val="Default"/>
              <w:jc w:val="center"/>
            </w:pPr>
          </w:p>
          <w:p w14:paraId="42365E6E" w14:textId="77777777" w:rsidR="00433068" w:rsidRPr="003A2A8C" w:rsidRDefault="00433068" w:rsidP="00433068">
            <w:pPr>
              <w:pStyle w:val="Default"/>
            </w:pPr>
            <w:r w:rsidRPr="003A2A8C">
              <w:t xml:space="preserve">Understanding of small group processes </w:t>
            </w:r>
          </w:p>
          <w:p w14:paraId="3AD17FB2" w14:textId="77777777" w:rsidR="00433068" w:rsidRPr="003A2A8C" w:rsidRDefault="00433068" w:rsidP="00433068">
            <w:pPr>
              <w:rPr>
                <w:rFonts w:cs="Arial"/>
                <w:szCs w:val="24"/>
              </w:rPr>
            </w:pPr>
          </w:p>
        </w:tc>
        <w:tc>
          <w:tcPr>
            <w:tcW w:w="3006" w:type="dxa"/>
          </w:tcPr>
          <w:p w14:paraId="121CB26C" w14:textId="77777777" w:rsidR="00433068" w:rsidRPr="003A2A8C" w:rsidRDefault="00433068" w:rsidP="00F0567C">
            <w:pPr>
              <w:rPr>
                <w:rFonts w:cs="Arial"/>
                <w:szCs w:val="24"/>
              </w:rPr>
            </w:pPr>
            <w:r w:rsidRPr="003A2A8C">
              <w:rPr>
                <w:rFonts w:cs="Arial"/>
                <w:szCs w:val="24"/>
              </w:rPr>
              <w:t>Understanding the development of guidance and policy development</w:t>
            </w:r>
          </w:p>
        </w:tc>
      </w:tr>
    </w:tbl>
    <w:p w14:paraId="76741925" w14:textId="77777777" w:rsidR="00433068" w:rsidRDefault="00433068" w:rsidP="001932D7"/>
    <w:p w14:paraId="7FAE9609" w14:textId="18E8C441" w:rsidR="006C2519" w:rsidRDefault="001932D7" w:rsidP="0008193F">
      <w:pPr>
        <w:pStyle w:val="Heading2"/>
      </w:pPr>
      <w:r>
        <w:t>Closing Date</w:t>
      </w:r>
      <w:r w:rsidR="0008193F">
        <w:t xml:space="preserve">: </w:t>
      </w:r>
      <w:r w:rsidR="006D4E4A">
        <w:t>24</w:t>
      </w:r>
      <w:r w:rsidR="006D4E4A" w:rsidRPr="006D4E4A">
        <w:rPr>
          <w:vertAlign w:val="superscript"/>
        </w:rPr>
        <w:t>th</w:t>
      </w:r>
      <w:r w:rsidR="006D4E4A">
        <w:t xml:space="preserve"> May 2021</w:t>
      </w:r>
    </w:p>
    <w:sectPr w:rsidR="006C2519" w:rsidSect="0008193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1109" w14:textId="77777777" w:rsidR="00452348" w:rsidRDefault="00452348" w:rsidP="00001A93">
      <w:pPr>
        <w:spacing w:after="0" w:line="240" w:lineRule="auto"/>
      </w:pPr>
      <w:r>
        <w:separator/>
      </w:r>
    </w:p>
  </w:endnote>
  <w:endnote w:type="continuationSeparator" w:id="0">
    <w:p w14:paraId="713FCF18" w14:textId="77777777" w:rsidR="00452348" w:rsidRDefault="00452348" w:rsidP="0000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711628"/>
      <w:docPartObj>
        <w:docPartGallery w:val="Page Numbers (Bottom of Page)"/>
        <w:docPartUnique/>
      </w:docPartObj>
    </w:sdtPr>
    <w:sdtEndPr>
      <w:rPr>
        <w:noProof/>
      </w:rPr>
    </w:sdtEndPr>
    <w:sdtContent>
      <w:p w14:paraId="03976F55" w14:textId="04702348" w:rsidR="006D4E4A" w:rsidRDefault="006D4E4A">
        <w:pPr>
          <w:pStyle w:val="Footer"/>
          <w:jc w:val="center"/>
        </w:pPr>
        <w:r>
          <w:fldChar w:fldCharType="begin"/>
        </w:r>
        <w:r>
          <w:instrText xml:space="preserve"> PAGE   \* MERGEFORMAT </w:instrText>
        </w:r>
        <w:r>
          <w:fldChar w:fldCharType="separate"/>
        </w:r>
        <w:r w:rsidR="00E775EC">
          <w:rPr>
            <w:noProof/>
          </w:rPr>
          <w:t>2</w:t>
        </w:r>
        <w:r>
          <w:rPr>
            <w:noProof/>
          </w:rPr>
          <w:fldChar w:fldCharType="end"/>
        </w:r>
      </w:p>
    </w:sdtContent>
  </w:sdt>
  <w:p w14:paraId="331AD912" w14:textId="77777777" w:rsidR="00001A93" w:rsidRDefault="0000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0B00" w14:textId="77777777" w:rsidR="00452348" w:rsidRDefault="00452348" w:rsidP="00001A93">
      <w:pPr>
        <w:spacing w:after="0" w:line="240" w:lineRule="auto"/>
      </w:pPr>
      <w:r>
        <w:separator/>
      </w:r>
    </w:p>
  </w:footnote>
  <w:footnote w:type="continuationSeparator" w:id="0">
    <w:p w14:paraId="4996D6C9" w14:textId="77777777" w:rsidR="00452348" w:rsidRDefault="00452348" w:rsidP="00001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5C17"/>
    <w:multiLevelType w:val="hybridMultilevel"/>
    <w:tmpl w:val="5964B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BC5129"/>
    <w:multiLevelType w:val="hybridMultilevel"/>
    <w:tmpl w:val="91BA2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6419C"/>
    <w:multiLevelType w:val="hybridMultilevel"/>
    <w:tmpl w:val="5CF22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B49A8"/>
    <w:multiLevelType w:val="hybridMultilevel"/>
    <w:tmpl w:val="E960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93766"/>
    <w:multiLevelType w:val="hybridMultilevel"/>
    <w:tmpl w:val="FCB44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E26A80"/>
    <w:multiLevelType w:val="hybridMultilevel"/>
    <w:tmpl w:val="04CE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D7"/>
    <w:rsid w:val="00001A93"/>
    <w:rsid w:val="0008193F"/>
    <w:rsid w:val="000A0C8E"/>
    <w:rsid w:val="001932D7"/>
    <w:rsid w:val="001E0C91"/>
    <w:rsid w:val="00292118"/>
    <w:rsid w:val="00293D60"/>
    <w:rsid w:val="003A2A8C"/>
    <w:rsid w:val="00433068"/>
    <w:rsid w:val="00452348"/>
    <w:rsid w:val="00475A92"/>
    <w:rsid w:val="004B2A94"/>
    <w:rsid w:val="004D1DD2"/>
    <w:rsid w:val="0051663D"/>
    <w:rsid w:val="00591B6D"/>
    <w:rsid w:val="005957DD"/>
    <w:rsid w:val="005B0D3D"/>
    <w:rsid w:val="005E14A8"/>
    <w:rsid w:val="006C2519"/>
    <w:rsid w:val="006D4E4A"/>
    <w:rsid w:val="006E57F8"/>
    <w:rsid w:val="007251A8"/>
    <w:rsid w:val="007A47CB"/>
    <w:rsid w:val="00B753CB"/>
    <w:rsid w:val="00BA12D5"/>
    <w:rsid w:val="00BC38DE"/>
    <w:rsid w:val="00BE1735"/>
    <w:rsid w:val="00CC7B5A"/>
    <w:rsid w:val="00CF7EDE"/>
    <w:rsid w:val="00D22F30"/>
    <w:rsid w:val="00D44BB7"/>
    <w:rsid w:val="00D8210A"/>
    <w:rsid w:val="00E00B0D"/>
    <w:rsid w:val="00E775EC"/>
    <w:rsid w:val="00EC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CA721"/>
  <w15:docId w15:val="{8E14BC05-F775-4944-B435-D6AB8DF9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2D7"/>
    <w:rPr>
      <w:rFonts w:ascii="Arial" w:hAnsi="Arial"/>
      <w:sz w:val="24"/>
    </w:rPr>
  </w:style>
  <w:style w:type="paragraph" w:styleId="Heading1">
    <w:name w:val="heading 1"/>
    <w:basedOn w:val="Normal"/>
    <w:next w:val="Normal"/>
    <w:link w:val="Heading1Char"/>
    <w:uiPriority w:val="9"/>
    <w:qFormat/>
    <w:rsid w:val="001932D7"/>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932D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D7"/>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1932D7"/>
    <w:rPr>
      <w:rFonts w:ascii="Arial" w:eastAsiaTheme="majorEastAsia" w:hAnsi="Arial" w:cstheme="majorBidi"/>
      <w:b/>
      <w:sz w:val="26"/>
      <w:szCs w:val="26"/>
    </w:rPr>
  </w:style>
  <w:style w:type="paragraph" w:styleId="ListParagraph">
    <w:name w:val="List Paragraph"/>
    <w:basedOn w:val="Normal"/>
    <w:uiPriority w:val="34"/>
    <w:qFormat/>
    <w:rsid w:val="001932D7"/>
    <w:pPr>
      <w:spacing w:after="0" w:line="240" w:lineRule="auto"/>
      <w:ind w:left="720"/>
      <w:contextualSpacing/>
    </w:pPr>
    <w:rPr>
      <w:rFonts w:eastAsiaTheme="minorEastAsia" w:cs="Arial"/>
      <w:szCs w:val="18"/>
    </w:rPr>
  </w:style>
  <w:style w:type="table" w:styleId="TableGrid">
    <w:name w:val="Table Grid"/>
    <w:basedOn w:val="TableNormal"/>
    <w:uiPriority w:val="39"/>
    <w:rsid w:val="0043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0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0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93"/>
    <w:rPr>
      <w:rFonts w:ascii="Arial" w:hAnsi="Arial"/>
      <w:sz w:val="24"/>
    </w:rPr>
  </w:style>
  <w:style w:type="paragraph" w:styleId="Footer">
    <w:name w:val="footer"/>
    <w:basedOn w:val="Normal"/>
    <w:link w:val="FooterChar"/>
    <w:uiPriority w:val="99"/>
    <w:unhideWhenUsed/>
    <w:rsid w:val="0000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93"/>
    <w:rPr>
      <w:rFonts w:ascii="Arial" w:hAnsi="Arial"/>
      <w:sz w:val="24"/>
    </w:rPr>
  </w:style>
  <w:style w:type="character" w:styleId="CommentReference">
    <w:name w:val="annotation reference"/>
    <w:basedOn w:val="DefaultParagraphFont"/>
    <w:uiPriority w:val="99"/>
    <w:semiHidden/>
    <w:unhideWhenUsed/>
    <w:rsid w:val="00292118"/>
    <w:rPr>
      <w:sz w:val="16"/>
      <w:szCs w:val="16"/>
    </w:rPr>
  </w:style>
  <w:style w:type="paragraph" w:styleId="CommentText">
    <w:name w:val="annotation text"/>
    <w:basedOn w:val="Normal"/>
    <w:link w:val="CommentTextChar"/>
    <w:uiPriority w:val="99"/>
    <w:semiHidden/>
    <w:unhideWhenUsed/>
    <w:rsid w:val="00292118"/>
    <w:pPr>
      <w:spacing w:line="240" w:lineRule="auto"/>
    </w:pPr>
    <w:rPr>
      <w:sz w:val="20"/>
      <w:szCs w:val="20"/>
    </w:rPr>
  </w:style>
  <w:style w:type="character" w:customStyle="1" w:styleId="CommentTextChar">
    <w:name w:val="Comment Text Char"/>
    <w:basedOn w:val="DefaultParagraphFont"/>
    <w:link w:val="CommentText"/>
    <w:uiPriority w:val="99"/>
    <w:semiHidden/>
    <w:rsid w:val="002921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2118"/>
    <w:rPr>
      <w:b/>
      <w:bCs/>
    </w:rPr>
  </w:style>
  <w:style w:type="character" w:customStyle="1" w:styleId="CommentSubjectChar">
    <w:name w:val="Comment Subject Char"/>
    <w:basedOn w:val="CommentTextChar"/>
    <w:link w:val="CommentSubject"/>
    <w:uiPriority w:val="99"/>
    <w:semiHidden/>
    <w:rsid w:val="00292118"/>
    <w:rPr>
      <w:rFonts w:ascii="Arial" w:hAnsi="Arial"/>
      <w:b/>
      <w:bCs/>
      <w:sz w:val="20"/>
      <w:szCs w:val="20"/>
    </w:rPr>
  </w:style>
  <w:style w:type="paragraph" w:styleId="BalloonText">
    <w:name w:val="Balloon Text"/>
    <w:basedOn w:val="Normal"/>
    <w:link w:val="BalloonTextChar"/>
    <w:uiPriority w:val="99"/>
    <w:semiHidden/>
    <w:unhideWhenUsed/>
    <w:rsid w:val="00292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18"/>
    <w:rPr>
      <w:rFonts w:ascii="Tahoma" w:hAnsi="Tahoma" w:cs="Tahoma"/>
      <w:sz w:val="16"/>
      <w:szCs w:val="16"/>
    </w:rPr>
  </w:style>
  <w:style w:type="character" w:styleId="Hyperlink">
    <w:name w:val="Hyperlink"/>
    <w:basedOn w:val="DefaultParagraphFont"/>
    <w:uiPriority w:val="99"/>
    <w:unhideWhenUsed/>
    <w:rsid w:val="00CF7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bhutani@lscft.nhs.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Bhutani Gita (LCFT)</dc:creator>
  <cp:lastModifiedBy>Menzies Pippa (Sussex Partnership Trust)</cp:lastModifiedBy>
  <cp:revision>4</cp:revision>
  <dcterms:created xsi:type="dcterms:W3CDTF">2021-05-07T13:17:00Z</dcterms:created>
  <dcterms:modified xsi:type="dcterms:W3CDTF">2021-05-11T16:17:00Z</dcterms:modified>
</cp:coreProperties>
</file>